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748CD76A" w:rsidR="000C6BE1" w:rsidRPr="000F7472" w:rsidRDefault="000C6BE1" w:rsidP="000C6BE1">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t>Ⅱ．具体的な</w:t>
      </w:r>
      <w:r w:rsidRPr="000348FA">
        <w:rPr>
          <w:rFonts w:ascii="ＭＳ ゴシック" w:eastAsia="ＭＳ ゴシック" w:hAnsi="ＭＳ ゴシック" w:hint="eastAsia"/>
          <w:sz w:val="28"/>
          <w:szCs w:val="28"/>
        </w:rPr>
        <w:t>取り組み</w:t>
      </w:r>
      <w:r w:rsidRPr="000F7472">
        <w:rPr>
          <w:rFonts w:ascii="ＭＳ ゴシック" w:eastAsia="ＭＳ ゴシック" w:hAnsi="ＭＳ ゴシック" w:hint="eastAsia"/>
          <w:sz w:val="28"/>
          <w:szCs w:val="28"/>
        </w:rPr>
        <w:t>項目</w:t>
      </w:r>
    </w:p>
    <w:p w14:paraId="3A3115BA" w14:textId="77777777" w:rsidR="000C6BE1" w:rsidRPr="000F7472" w:rsidRDefault="000C6BE1" w:rsidP="000C6BE1">
      <w:pPr>
        <w:autoSpaceDE w:val="0"/>
        <w:autoSpaceDN w:val="0"/>
        <w:rPr>
          <w:rFonts w:ascii="ＭＳ ゴシック" w:eastAsia="ＭＳ ゴシック" w:hAnsi="ＭＳ ゴシック"/>
          <w:szCs w:val="21"/>
        </w:rPr>
      </w:pPr>
    </w:p>
    <w:p w14:paraId="510B092F" w14:textId="108B96D1" w:rsidR="000C6BE1" w:rsidRPr="00A314A8" w:rsidRDefault="00A06F98" w:rsidP="00A314A8">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６</w:t>
      </w:r>
      <w:r w:rsidR="000C6BE1" w:rsidRPr="00A314A8">
        <w:rPr>
          <w:rFonts w:ascii="ＤＦＰ平成ゴシック体W7" w:eastAsia="ＤＦＰ平成ゴシック体W7" w:hAnsi="ＭＳ 明朝" w:hint="eastAsia"/>
          <w:i/>
          <w:sz w:val="24"/>
          <w:u w:val="double"/>
        </w:rPr>
        <w:t>．仕事と家庭の両立支援</w:t>
      </w:r>
    </w:p>
    <w:p w14:paraId="2F6C3D2C" w14:textId="77777777" w:rsidR="000C6BE1" w:rsidRPr="000F7472" w:rsidRDefault="000C6BE1" w:rsidP="000C6BE1">
      <w:pPr>
        <w:widowControl/>
        <w:autoSpaceDE w:val="0"/>
        <w:autoSpaceDN w:val="0"/>
        <w:jc w:val="left"/>
        <w:rPr>
          <w:rFonts w:ascii="ＭＳ ゴシック" w:eastAsia="ＭＳ ゴシック" w:hAnsi="ＭＳ ゴシック"/>
          <w:sz w:val="22"/>
          <w:szCs w:val="22"/>
        </w:rPr>
      </w:pPr>
    </w:p>
    <w:p w14:paraId="66738671"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ind w:left="224" w:hangingChars="99" w:hanging="224"/>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＜労働組合としての活動＞</w:t>
      </w:r>
    </w:p>
    <w:p w14:paraId="78F9857F" w14:textId="40B6064A" w:rsidR="000C6BE1" w:rsidRPr="000F7472" w:rsidRDefault="006D4C98" w:rsidP="000C6BE1">
      <w:pPr>
        <w:pBdr>
          <w:top w:val="single" w:sz="4" w:space="1" w:color="auto"/>
          <w:left w:val="single" w:sz="4" w:space="4" w:color="auto"/>
          <w:bottom w:val="single" w:sz="4" w:space="1" w:color="auto"/>
          <w:right w:val="single" w:sz="4" w:space="4" w:color="auto"/>
        </w:pBdr>
        <w:autoSpaceDE w:val="0"/>
        <w:autoSpaceDN w:val="0"/>
        <w:ind w:left="224" w:hangingChars="99" w:hanging="224"/>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①</w:t>
      </w:r>
      <w:r w:rsidR="000C6BE1" w:rsidRPr="000F7472">
        <w:rPr>
          <w:rFonts w:ascii="ＭＳ ゴシック" w:eastAsia="ＭＳ ゴシック" w:hAnsi="ＭＳ ゴシック" w:hint="eastAsia"/>
          <w:sz w:val="22"/>
          <w:szCs w:val="22"/>
        </w:rPr>
        <w:t>企業主導型保育事業の活用</w:t>
      </w:r>
    </w:p>
    <w:p w14:paraId="17836149" w14:textId="77777777" w:rsidR="000C6BE1" w:rsidRPr="000F7472" w:rsidRDefault="000C6BE1" w:rsidP="000C6BE1">
      <w:pPr>
        <w:autoSpaceDE w:val="0"/>
        <w:autoSpaceDN w:val="0"/>
        <w:ind w:firstLineChars="100" w:firstLine="216"/>
        <w:rPr>
          <w:rFonts w:hAnsi="ＭＳ 明朝"/>
        </w:rPr>
      </w:pPr>
      <w:r w:rsidRPr="000F7472">
        <w:rPr>
          <w:rFonts w:hAnsi="ＭＳ 明朝" w:hint="eastAsia"/>
        </w:rPr>
        <w:t>「企業主導型保育事業助成金」を活用し、企業単独、グループ企業共同で、もしくは工業団地や地域の事業所が共同して保育所を設置するよう、地元産業界・企業に提案していく。</w:t>
      </w:r>
    </w:p>
    <w:p w14:paraId="48674C3D" w14:textId="77777777" w:rsidR="00894F54" w:rsidRDefault="00894F54" w:rsidP="00D94F53">
      <w:pPr>
        <w:autoSpaceDE w:val="0"/>
        <w:autoSpaceDN w:val="0"/>
        <w:rPr>
          <w:rFonts w:asciiTheme="majorEastAsia" w:eastAsiaTheme="majorEastAsia" w:hAnsiTheme="majorEastAsia"/>
          <w:szCs w:val="21"/>
        </w:rPr>
      </w:pPr>
    </w:p>
    <w:p w14:paraId="68F33DD4" w14:textId="1F7AE31B"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2713B9AE" w14:textId="77777777" w:rsidR="00894F54" w:rsidRPr="000F7472" w:rsidRDefault="00894F54" w:rsidP="00894F5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企業主導型保育事業に関しては、20</w:t>
      </w:r>
      <w:r w:rsidRPr="000F7472">
        <w:rPr>
          <w:rFonts w:asciiTheme="minorEastAsia" w:eastAsiaTheme="minorEastAsia" w:hAnsiTheme="minorEastAsia"/>
          <w:szCs w:val="21"/>
        </w:rPr>
        <w:t>20</w:t>
      </w:r>
      <w:r w:rsidRPr="000F7472">
        <w:rPr>
          <w:rFonts w:asciiTheme="minorEastAsia" w:eastAsiaTheme="minorEastAsia" w:hAnsiTheme="minorEastAsia" w:hint="eastAsia"/>
          <w:szCs w:val="21"/>
        </w:rPr>
        <w:t>年1</w:t>
      </w:r>
      <w:r w:rsidRPr="000F7472">
        <w:rPr>
          <w:rFonts w:asciiTheme="minorEastAsia" w:eastAsiaTheme="minorEastAsia" w:hAnsiTheme="minorEastAsia"/>
          <w:szCs w:val="21"/>
        </w:rPr>
        <w:t>0</w:t>
      </w:r>
      <w:r w:rsidRPr="000F7472">
        <w:rPr>
          <w:rFonts w:asciiTheme="minorEastAsia" w:eastAsiaTheme="minorEastAsia" w:hAnsiTheme="minorEastAsia" w:hint="eastAsia"/>
          <w:szCs w:val="21"/>
        </w:rPr>
        <w:t>月時点で</w:t>
      </w:r>
      <w:r w:rsidRPr="000F7472">
        <w:rPr>
          <w:rFonts w:asciiTheme="minorEastAsia" w:eastAsiaTheme="minorEastAsia" w:hAnsiTheme="minorEastAsia"/>
          <w:szCs w:val="21"/>
        </w:rPr>
        <w:t>3,396</w:t>
      </w:r>
      <w:r w:rsidRPr="000F7472">
        <w:rPr>
          <w:rFonts w:asciiTheme="minorEastAsia" w:eastAsiaTheme="minorEastAsia" w:hAnsiTheme="minorEastAsia" w:hint="eastAsia"/>
          <w:szCs w:val="21"/>
        </w:rPr>
        <w:t>施設、定員</w:t>
      </w:r>
      <w:r w:rsidRPr="000F7472">
        <w:rPr>
          <w:rFonts w:asciiTheme="minorEastAsia" w:eastAsiaTheme="minorEastAsia" w:hAnsiTheme="minorEastAsia"/>
          <w:szCs w:val="21"/>
        </w:rPr>
        <w:t>79,925</w:t>
      </w:r>
      <w:r w:rsidRPr="000F7472">
        <w:rPr>
          <w:rFonts w:asciiTheme="minorEastAsia" w:eastAsiaTheme="minorEastAsia" w:hAnsiTheme="minorEastAsia" w:hint="eastAsia"/>
          <w:szCs w:val="21"/>
        </w:rPr>
        <w:t>人に達し、保育の受け皿として主要な役割を担うに至っており、</w:t>
      </w:r>
      <w:r>
        <w:rPr>
          <w:rFonts w:asciiTheme="minorEastAsia" w:eastAsiaTheme="minorEastAsia" w:hAnsiTheme="minorEastAsia" w:hint="eastAsia"/>
          <w:szCs w:val="21"/>
        </w:rPr>
        <w:t>202</w:t>
      </w:r>
      <w:r>
        <w:rPr>
          <w:rFonts w:asciiTheme="minorEastAsia" w:eastAsiaTheme="minorEastAsia" w:hAnsiTheme="minorEastAsia"/>
          <w:szCs w:val="21"/>
        </w:rPr>
        <w:t>1</w:t>
      </w:r>
      <w:r w:rsidRPr="000F7472">
        <w:rPr>
          <w:rFonts w:asciiTheme="minorEastAsia" w:eastAsiaTheme="minorEastAsia" w:hAnsiTheme="minorEastAsia" w:hint="eastAsia"/>
          <w:szCs w:val="21"/>
        </w:rPr>
        <w:t>年度の国の予算案でも、前年(</w:t>
      </w:r>
      <w:r w:rsidRPr="000F7472">
        <w:rPr>
          <w:rFonts w:asciiTheme="minorEastAsia" w:eastAsiaTheme="minorEastAsia" w:hAnsiTheme="minorEastAsia"/>
          <w:szCs w:val="21"/>
        </w:rPr>
        <w:t>2,269</w:t>
      </w:r>
      <w:r w:rsidRPr="000F7472">
        <w:rPr>
          <w:rFonts w:asciiTheme="minorEastAsia" w:eastAsiaTheme="minorEastAsia" w:hAnsiTheme="minorEastAsia" w:hint="eastAsia"/>
          <w:szCs w:val="21"/>
        </w:rPr>
        <w:t>億円)を下回るものの1</w:t>
      </w:r>
      <w:r w:rsidRPr="000F7472">
        <w:rPr>
          <w:rFonts w:asciiTheme="minorEastAsia" w:eastAsiaTheme="minorEastAsia" w:hAnsiTheme="minorEastAsia"/>
          <w:szCs w:val="21"/>
        </w:rPr>
        <w:t>,</w:t>
      </w:r>
      <w:r w:rsidRPr="000F7472">
        <w:rPr>
          <w:rFonts w:asciiTheme="minorEastAsia" w:eastAsiaTheme="minorEastAsia" w:hAnsiTheme="minorEastAsia" w:hint="eastAsia"/>
          <w:szCs w:val="21"/>
        </w:rPr>
        <w:t>9</w:t>
      </w:r>
      <w:r w:rsidRPr="000F7472">
        <w:rPr>
          <w:rFonts w:asciiTheme="minorEastAsia" w:eastAsiaTheme="minorEastAsia" w:hAnsiTheme="minorEastAsia"/>
          <w:szCs w:val="21"/>
        </w:rPr>
        <w:t>39</w:t>
      </w:r>
      <w:r w:rsidRPr="000F7472">
        <w:rPr>
          <w:rFonts w:asciiTheme="minorEastAsia" w:eastAsiaTheme="minorEastAsia" w:hAnsiTheme="minorEastAsia" w:hint="eastAsia"/>
          <w:szCs w:val="21"/>
        </w:rPr>
        <w:t>億円の予算が用意されています。一方、助成決定後に取りやめたところ</w:t>
      </w:r>
      <w:r w:rsidRPr="000F7472">
        <w:rPr>
          <w:rFonts w:asciiTheme="minorEastAsia" w:eastAsiaTheme="minorEastAsia" w:hAnsiTheme="minorEastAsia"/>
          <w:szCs w:val="21"/>
        </w:rPr>
        <w:t>33</w:t>
      </w:r>
      <w:r w:rsidRPr="000F7472">
        <w:rPr>
          <w:rFonts w:asciiTheme="minorEastAsia" w:eastAsiaTheme="minorEastAsia" w:hAnsiTheme="minorEastAsia" w:hint="eastAsia"/>
          <w:szCs w:val="21"/>
        </w:rPr>
        <w:t>施設、助成の不正受給などで助成取消となったところ</w:t>
      </w:r>
      <w:r w:rsidRPr="000F7472">
        <w:rPr>
          <w:rFonts w:asciiTheme="minorEastAsia" w:eastAsiaTheme="minorEastAsia" w:hAnsiTheme="minorEastAsia"/>
          <w:szCs w:val="21"/>
        </w:rPr>
        <w:t>23</w:t>
      </w:r>
      <w:r w:rsidRPr="000F7472">
        <w:rPr>
          <w:rFonts w:asciiTheme="minorEastAsia" w:eastAsiaTheme="minorEastAsia" w:hAnsiTheme="minorEastAsia" w:hint="eastAsia"/>
          <w:szCs w:val="21"/>
        </w:rPr>
        <w:t>施設、休止８施設など、保育の質、事業の継続性・安定性、事業運営の透明性、指導監査など自治体との連携不足などが課題とされています。労働組合として、すでに設置されている施設について、企業や施設との連携を深め、質の向上に向けて関与を強めつつ、新規の開設を促進していくことが重要です。</w:t>
      </w:r>
    </w:p>
    <w:p w14:paraId="3AC70DF8" w14:textId="77777777" w:rsidR="00894F54" w:rsidRPr="000F7472" w:rsidRDefault="00894F54" w:rsidP="00894F54">
      <w:pPr>
        <w:autoSpaceDE w:val="0"/>
        <w:autoSpaceDN w:val="0"/>
        <w:rPr>
          <w:rFonts w:asciiTheme="minorEastAsia" w:eastAsiaTheme="minorEastAsia" w:hAnsiTheme="minorEastAsia"/>
          <w:szCs w:val="21"/>
        </w:rPr>
      </w:pPr>
    </w:p>
    <w:p w14:paraId="016FC10F" w14:textId="77777777" w:rsidR="00894F54" w:rsidRPr="000F7472" w:rsidRDefault="00894F54" w:rsidP="00894F54">
      <w:pPr>
        <w:widowControl/>
        <w:autoSpaceDE w:val="0"/>
        <w:autoSpaceDN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w:t>
      </w:r>
      <w:r>
        <w:rPr>
          <w:rFonts w:asciiTheme="majorEastAsia" w:eastAsiaTheme="majorEastAsia" w:hAnsiTheme="majorEastAsia"/>
          <w:sz w:val="20"/>
          <w:szCs w:val="20"/>
        </w:rPr>
        <w:t>39</w:t>
      </w:r>
      <w:r w:rsidRPr="000F7472">
        <w:rPr>
          <w:rFonts w:asciiTheme="majorEastAsia" w:eastAsiaTheme="majorEastAsia" w:hAnsiTheme="majorEastAsia" w:hint="eastAsia"/>
          <w:sz w:val="20"/>
          <w:szCs w:val="20"/>
        </w:rPr>
        <w:t xml:space="preserve">　企業主導型保育事業に対する助成の内容</w:t>
      </w:r>
    </w:p>
    <w:p w14:paraId="374E0762" w14:textId="77777777" w:rsidR="00894F54" w:rsidRDefault="00894F54" w:rsidP="00894F54">
      <w:pPr>
        <w:autoSpaceDE w:val="0"/>
        <w:autoSpaceDN w:val="0"/>
        <w:ind w:firstLineChars="100" w:firstLine="216"/>
        <w:rPr>
          <w:rFonts w:hAnsi="ＭＳ 明朝"/>
        </w:rPr>
      </w:pPr>
      <w:r w:rsidRPr="000F7472">
        <w:rPr>
          <w:rFonts w:hAnsi="ＭＳ 明朝"/>
          <w:noProof/>
        </w:rPr>
        <w:drawing>
          <wp:inline distT="0" distB="0" distL="0" distR="0" wp14:anchorId="4B58EAE2" wp14:editId="2D37C854">
            <wp:extent cx="5761355" cy="348742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487420"/>
                    </a:xfrm>
                    <a:prstGeom prst="rect">
                      <a:avLst/>
                    </a:prstGeom>
                    <a:noFill/>
                    <a:ln>
                      <a:noFill/>
                    </a:ln>
                  </pic:spPr>
                </pic:pic>
              </a:graphicData>
            </a:graphic>
          </wp:inline>
        </w:drawing>
      </w:r>
    </w:p>
    <w:p w14:paraId="477E1784" w14:textId="77777777" w:rsidR="00894F54" w:rsidRPr="00B74DE3" w:rsidRDefault="00894F54" w:rsidP="00894F54">
      <w:pPr>
        <w:widowControl/>
        <w:snapToGrid w:val="0"/>
        <w:ind w:leftChars="200" w:left="432"/>
        <w:jc w:val="left"/>
        <w:rPr>
          <w:rFonts w:asciiTheme="majorEastAsia" w:eastAsiaTheme="majorEastAsia" w:hAnsiTheme="majorEastAsia"/>
          <w:sz w:val="18"/>
          <w:szCs w:val="18"/>
        </w:rPr>
      </w:pPr>
      <w:r>
        <w:rPr>
          <w:rFonts w:asciiTheme="majorEastAsia" w:eastAsiaTheme="majorEastAsia" w:hAnsiTheme="majorEastAsia" w:hint="eastAsia"/>
          <w:sz w:val="18"/>
          <w:szCs w:val="18"/>
        </w:rPr>
        <w:t>資料</w:t>
      </w:r>
      <w:r w:rsidRPr="00B74DE3">
        <w:rPr>
          <w:rFonts w:asciiTheme="majorEastAsia" w:eastAsiaTheme="majorEastAsia" w:hAnsiTheme="majorEastAsia" w:hint="eastAsia"/>
          <w:sz w:val="18"/>
          <w:szCs w:val="18"/>
        </w:rPr>
        <w:t>出所：内閣府</w:t>
      </w:r>
    </w:p>
    <w:p w14:paraId="0F24A42E" w14:textId="0BBB2F56" w:rsidR="00894F54" w:rsidRPr="000F7472" w:rsidRDefault="00894F54" w:rsidP="00D94F53">
      <w:pPr>
        <w:autoSpaceDE w:val="0"/>
        <w:autoSpaceDN w:val="0"/>
        <w:rPr>
          <w:rFonts w:asciiTheme="majorEastAsia" w:eastAsiaTheme="majorEastAsia" w:hAnsiTheme="majorEastAsia"/>
          <w:szCs w:val="21"/>
        </w:rPr>
      </w:pPr>
    </w:p>
    <w:p w14:paraId="48FEA577" w14:textId="3DE49A4D" w:rsidR="000C6BE1" w:rsidRDefault="000C6BE1" w:rsidP="000C6BE1">
      <w:pPr>
        <w:widowControl/>
        <w:autoSpaceDE w:val="0"/>
        <w:autoSpaceDN w:val="0"/>
        <w:jc w:val="left"/>
        <w:rPr>
          <w:rFonts w:ascii="ＭＳ ゴシック" w:eastAsia="ＭＳ ゴシック" w:hAnsi="ＭＳ ゴシック"/>
          <w:szCs w:val="21"/>
        </w:rPr>
      </w:pPr>
    </w:p>
    <w:p w14:paraId="06004329" w14:textId="531D1E70" w:rsidR="00894F54" w:rsidRDefault="00894F54" w:rsidP="000C6BE1">
      <w:pPr>
        <w:widowControl/>
        <w:autoSpaceDE w:val="0"/>
        <w:autoSpaceDN w:val="0"/>
        <w:jc w:val="left"/>
        <w:rPr>
          <w:rFonts w:ascii="ＭＳ ゴシック" w:eastAsia="ＭＳ ゴシック" w:hAnsi="ＭＳ ゴシック"/>
          <w:szCs w:val="21"/>
        </w:rPr>
      </w:pPr>
    </w:p>
    <w:p w14:paraId="1F257E6A" w14:textId="77777777" w:rsidR="00894F54" w:rsidRPr="000F7472" w:rsidRDefault="00894F54" w:rsidP="000C6BE1">
      <w:pPr>
        <w:widowControl/>
        <w:autoSpaceDE w:val="0"/>
        <w:autoSpaceDN w:val="0"/>
        <w:jc w:val="left"/>
        <w:rPr>
          <w:rFonts w:ascii="ＭＳ ゴシック" w:eastAsia="ＭＳ ゴシック" w:hAnsi="ＭＳ ゴシック" w:hint="eastAsia"/>
          <w:szCs w:val="21"/>
        </w:rPr>
      </w:pPr>
    </w:p>
    <w:p w14:paraId="6C1E91AE" w14:textId="77777777" w:rsidR="000C6BE1" w:rsidRPr="000F7472" w:rsidRDefault="000C6BE1" w:rsidP="000C6BE1">
      <w:pPr>
        <w:widowControl/>
        <w:pBdr>
          <w:top w:val="single" w:sz="4" w:space="1" w:color="auto"/>
          <w:left w:val="single" w:sz="4" w:space="4" w:color="auto"/>
          <w:bottom w:val="single" w:sz="4" w:space="1" w:color="auto"/>
          <w:right w:val="single" w:sz="4" w:space="4" w:color="auto"/>
        </w:pBdr>
        <w:autoSpaceDE w:val="0"/>
        <w:autoSpaceDN w:val="0"/>
        <w:ind w:left="226" w:hangingChars="100" w:hanging="226"/>
        <w:jc w:val="left"/>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lastRenderedPageBreak/>
        <w:t>＜自治体・地方議員への要請項目＞</w:t>
      </w:r>
    </w:p>
    <w:p w14:paraId="6BC7BD0A" w14:textId="6DA26C0B" w:rsidR="000C6BE1" w:rsidRPr="000F7472" w:rsidRDefault="006D4C98" w:rsidP="000C6BE1">
      <w:pPr>
        <w:widowControl/>
        <w:pBdr>
          <w:top w:val="single" w:sz="4" w:space="1" w:color="auto"/>
          <w:left w:val="single" w:sz="4" w:space="4" w:color="auto"/>
          <w:bottom w:val="single" w:sz="4" w:space="1" w:color="auto"/>
          <w:right w:val="single" w:sz="4" w:space="4" w:color="auto"/>
        </w:pBdr>
        <w:autoSpaceDE w:val="0"/>
        <w:autoSpaceDN w:val="0"/>
        <w:ind w:left="226" w:hangingChars="100" w:hanging="226"/>
        <w:jc w:val="left"/>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②</w:t>
      </w:r>
      <w:r w:rsidR="000C6BE1" w:rsidRPr="000F7472">
        <w:rPr>
          <w:rFonts w:ascii="ＭＳ ゴシック" w:eastAsia="ＭＳ ゴシック" w:hAnsi="ＭＳ ゴシック" w:hint="eastAsia"/>
          <w:sz w:val="22"/>
          <w:szCs w:val="22"/>
        </w:rPr>
        <w:t>学童保育の拡充と、保育士、学童保育指導員（放課後児童支援員）の賃金・労働諸条件改</w:t>
      </w:r>
      <w:r w:rsidR="000C6BE1" w:rsidRPr="000F7472">
        <w:rPr>
          <w:rFonts w:ascii="ＭＳ ゴシック" w:eastAsia="ＭＳ ゴシック" w:hAnsi="ＭＳ ゴシック" w:hint="eastAsia"/>
          <w:strike/>
          <w:sz w:val="22"/>
          <w:szCs w:val="22"/>
        </w:rPr>
        <w:t>善</w:t>
      </w:r>
    </w:p>
    <w:p w14:paraId="68AC1A26" w14:textId="77777777" w:rsidR="000C6BE1" w:rsidRPr="000F7472" w:rsidRDefault="000C6BE1" w:rsidP="000C6BE1">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学童保育未設置校区の学童保育設置を進めていくこと。</w:t>
      </w:r>
    </w:p>
    <w:p w14:paraId="2D7404D7" w14:textId="77777777" w:rsidR="000C6BE1" w:rsidRPr="000F7472" w:rsidRDefault="000C6BE1" w:rsidP="000C6BE1">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学童保育の質の改善に向け、運営主体は公立公営、社会福祉協議会、学校法人、社会福祉法人、民間企業を基本とすること。</w:t>
      </w:r>
    </w:p>
    <w:p w14:paraId="56EA6832" w14:textId="77777777" w:rsidR="000C6BE1" w:rsidRPr="000F7472" w:rsidRDefault="000C6BE1" w:rsidP="000C6BE1">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放課後児童健全育成事業の設備及び運営に関する基準」において、これまで「従うべき基準」とされてきた学童保育指導員（放課後児童支援員）の数および資格の基準について、引き続きこれを厳守するよう、市区町村に対し強力に働きかけること。（補強）</w:t>
      </w:r>
    </w:p>
    <w:p w14:paraId="79AC39ED" w14:textId="77777777" w:rsidR="000C6BE1" w:rsidRPr="000F7472" w:rsidRDefault="000C6BE1" w:rsidP="000C6BE1">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保育士、学童保育指導員の賃金・労働諸条件について、人命を預かる重責に相応しい水準の確保に向けて改善を図っていくこと。</w:t>
      </w:r>
    </w:p>
    <w:p w14:paraId="36611786" w14:textId="77777777" w:rsidR="00894F54" w:rsidRDefault="00894F54" w:rsidP="00D94F53">
      <w:pPr>
        <w:autoSpaceDE w:val="0"/>
        <w:autoSpaceDN w:val="0"/>
        <w:rPr>
          <w:rFonts w:asciiTheme="majorEastAsia" w:eastAsiaTheme="majorEastAsia" w:hAnsiTheme="majorEastAsia"/>
          <w:szCs w:val="21"/>
        </w:rPr>
      </w:pPr>
    </w:p>
    <w:p w14:paraId="5697E29A" w14:textId="09EBCE96"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7460C127" w14:textId="77777777" w:rsidR="00894F54" w:rsidRPr="000F7472" w:rsidRDefault="00894F54" w:rsidP="00894F54">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学童保育待機児童数について、公立小学校の校区の中で未設置校区の比率は、全体では1</w:t>
      </w:r>
      <w:r w:rsidRPr="000F7472">
        <w:rPr>
          <w:rFonts w:asciiTheme="minorEastAsia" w:eastAsiaTheme="minorEastAsia" w:hAnsiTheme="minorEastAsia"/>
          <w:szCs w:val="21"/>
        </w:rPr>
        <w:t>3.9</w:t>
      </w:r>
      <w:r w:rsidRPr="000F7472">
        <w:rPr>
          <w:rFonts w:asciiTheme="minorEastAsia" w:eastAsiaTheme="minorEastAsia" w:hAnsiTheme="minorEastAsia" w:hint="eastAsia"/>
          <w:szCs w:val="21"/>
        </w:rPr>
        <w:t>％に低下してきましたが、都道府県によっては、４割以上になっているところもあります。地域の状況を確認の上、必要な場合には強力な取り組みが必要となります。</w:t>
      </w:r>
    </w:p>
    <w:p w14:paraId="3EDEE5A3" w14:textId="77777777" w:rsidR="00894F54" w:rsidRPr="000F7472" w:rsidRDefault="00894F54" w:rsidP="00894F54">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2020年４月より、これまで「従うべき基準」とされてきた、</w:t>
      </w:r>
    </w:p>
    <w:p w14:paraId="081C6A6C"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・放課後児童支援員の数は、支援単位（部屋）ごとに２人以上（うち一人を除き、補助員が代替可）</w:t>
      </w:r>
    </w:p>
    <w:p w14:paraId="452B5A4C"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・放課後児童支援員は、次のいずれかに該当する者であって、都道府県知事が行う研修を終了したもの</w:t>
      </w:r>
    </w:p>
    <w:p w14:paraId="2B33DDC4" w14:textId="77777777" w:rsidR="00894F54" w:rsidRPr="000F7472" w:rsidRDefault="00894F54" w:rsidP="00894F54">
      <w:pPr>
        <w:widowControl/>
        <w:autoSpaceDE w:val="0"/>
        <w:autoSpaceDN w:val="0"/>
        <w:ind w:left="648" w:hangingChars="300" w:hanging="648"/>
        <w:rPr>
          <w:rFonts w:asciiTheme="minorEastAsia" w:eastAsiaTheme="minorEastAsia" w:hAnsiTheme="minorEastAsia"/>
          <w:szCs w:val="21"/>
        </w:rPr>
      </w:pPr>
      <w:r w:rsidRPr="000F7472">
        <w:rPr>
          <w:rFonts w:asciiTheme="minorEastAsia" w:eastAsiaTheme="minorEastAsia" w:hAnsiTheme="minorEastAsia" w:hint="eastAsia"/>
          <w:szCs w:val="21"/>
        </w:rPr>
        <w:t xml:space="preserve">　　　①保育士②社会福祉士③教諭④児童福祉事業従事者（２年以上）⑤大学の社会福祉学等修了卒業者等⑥放課後児童健全育成事業の類似事業従事者（２年以上）⑦放課後児童健全育成事業従事者（５年以上）</w:t>
      </w:r>
    </w:p>
    <w:p w14:paraId="7FCF7EF7"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・支援員等は専ら支援の提供に当たる（利用者が20人未満の場合で、支援員のうち一人を除いた者又は補助員については同一敷地内にある他の事業所等に従事し、支援に支障がない場合は兼務可）</w:t>
      </w:r>
    </w:p>
    <w:p w14:paraId="5646D6F8" w14:textId="77777777" w:rsidR="00894F54" w:rsidRPr="000F7472" w:rsidRDefault="00894F54" w:rsidP="00894F54">
      <w:pPr>
        <w:widowControl/>
        <w:autoSpaceDE w:val="0"/>
        <w:autoSpaceDN w:val="0"/>
        <w:rPr>
          <w:rFonts w:asciiTheme="minorEastAsia" w:eastAsiaTheme="minorEastAsia" w:hAnsiTheme="minorEastAsia"/>
          <w:szCs w:val="21"/>
        </w:rPr>
      </w:pPr>
      <w:r w:rsidRPr="000F7472">
        <w:rPr>
          <w:rFonts w:asciiTheme="minorEastAsia" w:eastAsiaTheme="minorEastAsia" w:hAnsiTheme="minorEastAsia" w:hint="eastAsia"/>
          <w:szCs w:val="21"/>
        </w:rPr>
        <w:t>という学童保育指導員に対する基準が「参酌すべき基準」に格下げされ、市区町村の判断によって、資格のない者によるいわゆるワンオペレーションも可能な状況となってしまいました。</w:t>
      </w:r>
    </w:p>
    <w:p w14:paraId="76B1D111"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＊学童保育では、１年生から６年生まで幅広い学年の児童が１部屋で過ごしている場合もあり、とりわけ１部屋40人を超えているところが４割近くに達していること。</w:t>
      </w:r>
    </w:p>
    <w:p w14:paraId="1EAE6560"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＊学童保育では、計画的な時間管理に基づき、児童の学年やニーズに即して勉強や遊びの指導が行われていること。</w:t>
      </w:r>
    </w:p>
    <w:p w14:paraId="2373D271"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＊病気やケガが発生した場合、緊急処置や病院への搬送を行わなければならず、災害発生時の対応も必要なこと。</w:t>
      </w:r>
    </w:p>
    <w:p w14:paraId="2D5D063A" w14:textId="77777777" w:rsidR="00894F54" w:rsidRPr="000F7472" w:rsidRDefault="00894F54" w:rsidP="00894F54">
      <w:pPr>
        <w:widowControl/>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＊放課後児童支援員は指導の準備や片付けはもとより、施設の清掃なども行っている場合があること。</w:t>
      </w:r>
    </w:p>
    <w:p w14:paraId="64C4BC5B" w14:textId="77777777" w:rsidR="00894F54" w:rsidRPr="000F7472" w:rsidRDefault="00894F54" w:rsidP="00894F54">
      <w:pPr>
        <w:widowControl/>
        <w:autoSpaceDE w:val="0"/>
        <w:autoSpaceDN w:val="0"/>
        <w:rPr>
          <w:rFonts w:asciiTheme="minorEastAsia" w:eastAsiaTheme="minorEastAsia" w:hAnsiTheme="minorEastAsia"/>
          <w:szCs w:val="21"/>
        </w:rPr>
      </w:pPr>
      <w:r w:rsidRPr="000F7472">
        <w:rPr>
          <w:rFonts w:asciiTheme="minorEastAsia" w:eastAsiaTheme="minorEastAsia" w:hAnsiTheme="minorEastAsia" w:hint="eastAsia"/>
          <w:szCs w:val="21"/>
        </w:rPr>
        <w:t>などからすれば、ワンオペレーションでの運営は到底不可能であり、従来の「従うべき基準」を引き続き遵守するよう、市区町村に対し強く働きかけていくことが不可欠です。</w:t>
      </w:r>
    </w:p>
    <w:p w14:paraId="6A7ACE5D" w14:textId="77777777" w:rsidR="00894F54" w:rsidRPr="000F7472" w:rsidRDefault="00894F54" w:rsidP="00894F54">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lastRenderedPageBreak/>
        <w:t>なお、国の「放課後児童支援員等処遇改善等事業」、「放課後児童支援員キャリアアップ処遇改善事業」を活用している市</w:t>
      </w:r>
      <w:r>
        <w:rPr>
          <w:rFonts w:asciiTheme="minorEastAsia" w:eastAsiaTheme="minorEastAsia" w:hAnsiTheme="minorEastAsia" w:hint="eastAsia"/>
          <w:szCs w:val="21"/>
        </w:rPr>
        <w:t>区</w:t>
      </w:r>
      <w:r w:rsidRPr="000F7472">
        <w:rPr>
          <w:rFonts w:asciiTheme="minorEastAsia" w:eastAsiaTheme="minorEastAsia" w:hAnsiTheme="minorEastAsia" w:hint="eastAsia"/>
          <w:szCs w:val="21"/>
        </w:rPr>
        <w:t>町村はそれぞれ300超の自治体に止まることから、その活用拡大が必要です。</w:t>
      </w:r>
    </w:p>
    <w:p w14:paraId="044BC7CA" w14:textId="77777777" w:rsidR="00894F54" w:rsidRPr="000F7472" w:rsidRDefault="00894F54" w:rsidP="00894F54">
      <w:pPr>
        <w:widowControl/>
        <w:autoSpaceDE w:val="0"/>
        <w:autoSpaceDN w:val="0"/>
        <w:jc w:val="left"/>
        <w:rPr>
          <w:rFonts w:asciiTheme="minorEastAsia" w:eastAsiaTheme="minorEastAsia" w:hAnsiTheme="minorEastAsia"/>
          <w:szCs w:val="21"/>
        </w:rPr>
      </w:pPr>
    </w:p>
    <w:p w14:paraId="6A3C497A" w14:textId="77777777" w:rsidR="00894F54" w:rsidRPr="000F7472" w:rsidRDefault="00894F54" w:rsidP="00894F54">
      <w:pPr>
        <w:widowControl/>
        <w:autoSpaceDE w:val="0"/>
        <w:autoSpaceDN w:val="0"/>
        <w:jc w:val="left"/>
        <w:rPr>
          <w:rFonts w:asciiTheme="minorEastAsia" w:eastAsiaTheme="minorEastAsia" w:hAnsiTheme="minorEastAsia"/>
          <w:szCs w:val="21"/>
        </w:rPr>
      </w:pPr>
      <w:r w:rsidRPr="00946F8C">
        <w:rPr>
          <w:noProof/>
        </w:rPr>
        <w:drawing>
          <wp:inline distT="0" distB="0" distL="0" distR="0" wp14:anchorId="5D9C0112" wp14:editId="44E1FEA8">
            <wp:extent cx="5759450" cy="4039935"/>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039935"/>
                    </a:xfrm>
                    <a:prstGeom prst="rect">
                      <a:avLst/>
                    </a:prstGeom>
                    <a:noFill/>
                    <a:ln>
                      <a:noFill/>
                    </a:ln>
                  </pic:spPr>
                </pic:pic>
              </a:graphicData>
            </a:graphic>
          </wp:inline>
        </w:drawing>
      </w:r>
    </w:p>
    <w:p w14:paraId="25DBB6E5" w14:textId="77777777" w:rsidR="00894F54" w:rsidRPr="000F7472" w:rsidRDefault="00894F54" w:rsidP="00894F54">
      <w:pPr>
        <w:widowControl/>
        <w:autoSpaceDE w:val="0"/>
        <w:autoSpaceDN w:val="0"/>
        <w:jc w:val="left"/>
        <w:rPr>
          <w:rFonts w:asciiTheme="minorEastAsia" w:eastAsiaTheme="minorEastAsia" w:hAnsiTheme="minorEastAsia"/>
          <w:szCs w:val="21"/>
        </w:rPr>
      </w:pPr>
    </w:p>
    <w:p w14:paraId="79044668" w14:textId="77777777" w:rsidR="00894F54" w:rsidRPr="000F7472" w:rsidRDefault="00894F54" w:rsidP="00894F54">
      <w:pPr>
        <w:widowControl/>
        <w:autoSpaceDE w:val="0"/>
        <w:autoSpaceDN w:val="0"/>
        <w:jc w:val="center"/>
        <w:rPr>
          <w:rFonts w:asciiTheme="minorEastAsia" w:eastAsiaTheme="minorEastAsia" w:hAnsiTheme="minorEastAsia"/>
          <w:szCs w:val="21"/>
        </w:rPr>
      </w:pPr>
      <w:r w:rsidRPr="00946F8C">
        <w:rPr>
          <w:noProof/>
        </w:rPr>
        <w:drawing>
          <wp:inline distT="0" distB="0" distL="0" distR="0" wp14:anchorId="2CF35B2F" wp14:editId="0EFDDFFC">
            <wp:extent cx="4695825" cy="1304925"/>
            <wp:effectExtent l="0" t="0" r="9525" b="9525"/>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1304925"/>
                    </a:xfrm>
                    <a:prstGeom prst="rect">
                      <a:avLst/>
                    </a:prstGeom>
                    <a:noFill/>
                    <a:ln>
                      <a:noFill/>
                    </a:ln>
                  </pic:spPr>
                </pic:pic>
              </a:graphicData>
            </a:graphic>
          </wp:inline>
        </w:drawing>
      </w:r>
    </w:p>
    <w:p w14:paraId="340DEE1B" w14:textId="77777777" w:rsidR="00894F54" w:rsidRPr="000F7472" w:rsidRDefault="00894F54" w:rsidP="00894F54">
      <w:pPr>
        <w:widowControl/>
        <w:autoSpaceDE w:val="0"/>
        <w:autoSpaceDN w:val="0"/>
        <w:jc w:val="left"/>
        <w:rPr>
          <w:rFonts w:asciiTheme="minorEastAsia" w:eastAsiaTheme="minorEastAsia" w:hAnsiTheme="minorEastAsia"/>
          <w:szCs w:val="21"/>
        </w:rPr>
      </w:pPr>
    </w:p>
    <w:p w14:paraId="1574520F" w14:textId="77777777" w:rsidR="00894F54" w:rsidRPr="000F7472" w:rsidRDefault="00894F54" w:rsidP="00894F54">
      <w:pPr>
        <w:widowControl/>
        <w:autoSpaceDE w:val="0"/>
        <w:autoSpaceDN w:val="0"/>
        <w:jc w:val="center"/>
        <w:rPr>
          <w:rFonts w:asciiTheme="minorEastAsia" w:eastAsiaTheme="minorEastAsia" w:hAnsiTheme="minorEastAsia"/>
          <w:szCs w:val="21"/>
        </w:rPr>
      </w:pPr>
      <w:r w:rsidRPr="00946F8C">
        <w:rPr>
          <w:noProof/>
        </w:rPr>
        <w:lastRenderedPageBreak/>
        <w:drawing>
          <wp:inline distT="0" distB="0" distL="0" distR="0" wp14:anchorId="3C868C15" wp14:editId="10B8CAB0">
            <wp:extent cx="5625289" cy="3744104"/>
            <wp:effectExtent l="0" t="0" r="0" b="889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0172" cy="3747354"/>
                    </a:xfrm>
                    <a:prstGeom prst="rect">
                      <a:avLst/>
                    </a:prstGeom>
                    <a:noFill/>
                    <a:ln>
                      <a:noFill/>
                    </a:ln>
                  </pic:spPr>
                </pic:pic>
              </a:graphicData>
            </a:graphic>
          </wp:inline>
        </w:drawing>
      </w:r>
    </w:p>
    <w:p w14:paraId="2A7CD188" w14:textId="77777777" w:rsidR="00894F54" w:rsidRPr="000F7472" w:rsidRDefault="00894F54" w:rsidP="00894F54">
      <w:pPr>
        <w:widowControl/>
        <w:autoSpaceDE w:val="0"/>
        <w:autoSpaceDN w:val="0"/>
        <w:jc w:val="left"/>
        <w:rPr>
          <w:rFonts w:asciiTheme="minorEastAsia" w:eastAsiaTheme="minorEastAsia" w:hAnsiTheme="minorEastAsia"/>
          <w:szCs w:val="21"/>
        </w:rPr>
      </w:pPr>
    </w:p>
    <w:p w14:paraId="117F1E35"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jc w:val="center"/>
        <w:rPr>
          <w:rFonts w:asciiTheme="majorEastAsia" w:eastAsiaTheme="majorEastAsia" w:hAnsiTheme="majorEastAsia"/>
          <w:sz w:val="20"/>
          <w:szCs w:val="20"/>
        </w:rPr>
      </w:pPr>
      <w:r w:rsidRPr="000F7472">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4</w:t>
      </w:r>
      <w:r>
        <w:rPr>
          <w:rFonts w:asciiTheme="majorEastAsia" w:eastAsiaTheme="majorEastAsia" w:hAnsiTheme="majorEastAsia"/>
          <w:sz w:val="20"/>
          <w:szCs w:val="20"/>
        </w:rPr>
        <w:t>3</w:t>
      </w:r>
      <w:r w:rsidRPr="000F7472">
        <w:rPr>
          <w:rFonts w:asciiTheme="majorEastAsia" w:eastAsiaTheme="majorEastAsia" w:hAnsiTheme="majorEastAsia" w:hint="eastAsia"/>
          <w:sz w:val="20"/>
          <w:szCs w:val="20"/>
        </w:rPr>
        <w:t xml:space="preserve">　学童保育における「従うべき基準」の廃止</w:t>
      </w:r>
    </w:p>
    <w:p w14:paraId="54B69BE3"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＜従　来＞</w:t>
      </w:r>
    </w:p>
    <w:p w14:paraId="7C873BFD"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従うべき基準</w:t>
      </w:r>
    </w:p>
    <w:p w14:paraId="6B1541A8"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・放課後児童支援員の数は、支援単位ごとに２人以上（うち一人を除き、補助員が代替可）</w:t>
      </w:r>
    </w:p>
    <w:p w14:paraId="2984C7D6"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・放課後児童支援員は、次のいずれかに該当する者であって、都道府県知事が行う研修を終了したもの</w:t>
      </w:r>
    </w:p>
    <w:p w14:paraId="65F335AE"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 xml:space="preserve">　①保育士②社会福祉士③教諭④児童福祉事業従事者（２年以上）⑤大学の社会福祉学等修了卒業者等⑥放課後児童健全育成事業の類似事業従事者（２年以上）⑦放課後児童健全育成事業従事者（５年以上）</w:t>
      </w:r>
    </w:p>
    <w:p w14:paraId="3E5F455A"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・支援員等は専ら支援の提供に当たる（利用者が20人未満の場合で、支援員のうち一人を除いた者又は補助員については同一敷地内にある他の事業所等に従事し、支援に支障がない場合は兼務可）</w:t>
      </w:r>
    </w:p>
    <w:p w14:paraId="67F4722C"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参酌すべき基準（主なもの）</w:t>
      </w:r>
    </w:p>
    <w:p w14:paraId="27CCF214"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・専用区画の面積は、児童１人につきおおむね1.65㎡以上</w:t>
      </w:r>
    </w:p>
    <w:p w14:paraId="7C6FB8E9"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・一の支援の単位を構成する児童数（集団の規模）は、おおむね40人以下</w:t>
      </w:r>
    </w:p>
    <w:p w14:paraId="6515C611"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・開所時間は原則平日３時間以上、土日長期休業期間等は８時間以上</w:t>
      </w:r>
    </w:p>
    <w:p w14:paraId="0F5C6B19"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・開所日数は原則１年につき250日以上</w:t>
      </w:r>
    </w:p>
    <w:p w14:paraId="6785474A"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p>
    <w:p w14:paraId="7F0CDE56"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＜2020年４月以降＞</w:t>
      </w:r>
    </w:p>
    <w:p w14:paraId="2BBA7E22"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参酌すべき基準（主なもの）</w:t>
      </w:r>
    </w:p>
    <w:p w14:paraId="2C859F9E"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・専用区画の面積は、児童１人につきおおむね1.65㎡以上</w:t>
      </w:r>
    </w:p>
    <w:p w14:paraId="1D492BE5"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・一の支援の単位を構成する児童数（集団の規模）は、おおむね40人以下</w:t>
      </w:r>
    </w:p>
    <w:p w14:paraId="1B25AC36"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・開所時間は原則平日３時間以上、土日長期休業期間等は８時間以上</w:t>
      </w:r>
    </w:p>
    <w:p w14:paraId="0F4C5A0E"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・開所日数は原則１年につき250日以上</w:t>
      </w:r>
    </w:p>
    <w:p w14:paraId="7F2774AB"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・放課後児童支援員の数は、支援単位ごとに２人以上（うち一人を除き、補助員が代替可）</w:t>
      </w:r>
    </w:p>
    <w:p w14:paraId="27B3BD0F"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・放課後児童支援員は、次のいずれかに該当する者であって、都道府県知事が行う研修を終了したもの</w:t>
      </w:r>
    </w:p>
    <w:p w14:paraId="3568A285"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 xml:space="preserve">　①保育士②社会福祉士③教諭④児童福祉事業従事者（２年以上）⑤大学の社会福祉学等修了卒業者等⑥放課後児童健全育成事業の類似事業従事者（２年以上）⑦放課後児童健全育成事業従事者（５年以上）</w:t>
      </w:r>
    </w:p>
    <w:p w14:paraId="0A2F9964" w14:textId="77777777" w:rsidR="00894F54" w:rsidRPr="000F7472" w:rsidRDefault="00894F54" w:rsidP="00894F54">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F7472">
        <w:rPr>
          <w:rFonts w:asciiTheme="majorEastAsia" w:eastAsiaTheme="majorEastAsia" w:hAnsiTheme="majorEastAsia" w:hint="eastAsia"/>
          <w:sz w:val="18"/>
          <w:szCs w:val="18"/>
        </w:rPr>
        <w:t>・支援員等は専ら支援の提供に当たる（利用者が20人未満の場合で、支援員のうち一人を除いた者又は補助員については同一敷地内にある他の事業所等に従事し、支援に支障がない場合は兼務可）</w:t>
      </w:r>
    </w:p>
    <w:p w14:paraId="628488D4" w14:textId="1956440D" w:rsidR="000C6BE1" w:rsidRPr="00894F54" w:rsidRDefault="00894F54" w:rsidP="00894F54">
      <w:pPr>
        <w:widowControl/>
        <w:autoSpaceDE w:val="0"/>
        <w:autoSpaceDN w:val="0"/>
        <w:spacing w:line="280" w:lineRule="exact"/>
        <w:rPr>
          <w:rFonts w:ascii="ＭＳ ゴシック" w:eastAsia="ＭＳ ゴシック" w:hAnsi="ＭＳ ゴシック" w:hint="eastAsia"/>
          <w:sz w:val="18"/>
          <w:szCs w:val="18"/>
        </w:rPr>
      </w:pPr>
      <w:r w:rsidRPr="000F7472">
        <w:rPr>
          <w:rFonts w:ascii="ＭＳ ゴシック" w:eastAsia="ＭＳ ゴシック" w:hAnsi="ＭＳ ゴシック" w:hint="eastAsia"/>
          <w:sz w:val="18"/>
          <w:szCs w:val="18"/>
        </w:rPr>
        <w:t>資料出所：厚生労働省資料より金属労協政策企画局で作成。</w:t>
      </w:r>
      <w:bookmarkStart w:id="0" w:name="_GoBack"/>
      <w:bookmarkEnd w:id="0"/>
    </w:p>
    <w:p w14:paraId="118209C8" w14:textId="77777777" w:rsidR="000C6BE1" w:rsidRPr="000F7472" w:rsidRDefault="000C6BE1" w:rsidP="000C6BE1">
      <w:pPr>
        <w:widowControl/>
        <w:pBdr>
          <w:top w:val="single" w:sz="4" w:space="1" w:color="auto"/>
          <w:left w:val="single" w:sz="4" w:space="4" w:color="auto"/>
          <w:bottom w:val="single" w:sz="4" w:space="1" w:color="auto"/>
          <w:right w:val="single" w:sz="4" w:space="4" w:color="auto"/>
        </w:pBdr>
        <w:autoSpaceDE w:val="0"/>
        <w:autoSpaceDN w:val="0"/>
        <w:jc w:val="left"/>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lastRenderedPageBreak/>
        <w:t>＜自治体・地方議員への要請項目＞</w:t>
      </w:r>
    </w:p>
    <w:p w14:paraId="44BDEC30" w14:textId="15F8B2F5" w:rsidR="000C6BE1" w:rsidRPr="000F7472" w:rsidRDefault="006D4C98" w:rsidP="000C6BE1">
      <w:pPr>
        <w:widowControl/>
        <w:pBdr>
          <w:top w:val="single" w:sz="4" w:space="1" w:color="auto"/>
          <w:left w:val="single" w:sz="4" w:space="4" w:color="auto"/>
          <w:bottom w:val="single" w:sz="4" w:space="1" w:color="auto"/>
          <w:right w:val="single" w:sz="4" w:space="4" w:color="auto"/>
        </w:pBdr>
        <w:autoSpaceDE w:val="0"/>
        <w:autoSpaceDN w:val="0"/>
        <w:jc w:val="left"/>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③</w:t>
      </w:r>
      <w:r w:rsidR="000C6BE1" w:rsidRPr="000F7472">
        <w:rPr>
          <w:rFonts w:ascii="ＭＳ ゴシック" w:eastAsia="ＭＳ ゴシック" w:hAnsi="ＭＳ ゴシック" w:hint="eastAsia"/>
          <w:sz w:val="22"/>
          <w:szCs w:val="22"/>
        </w:rPr>
        <w:t>病児・病後児・体調不良児の保育の拡充</w:t>
      </w:r>
    </w:p>
    <w:p w14:paraId="451ABF8F" w14:textId="77777777" w:rsidR="000C6BE1" w:rsidRPr="000F7472" w:rsidRDefault="000C6BE1" w:rsidP="000C6BE1">
      <w:pPr>
        <w:widowControl/>
        <w:autoSpaceDE w:val="0"/>
        <w:autoSpaceDN w:val="0"/>
        <w:ind w:firstLineChars="100" w:firstLine="216"/>
        <w:jc w:val="left"/>
        <w:rPr>
          <w:rFonts w:asciiTheme="minorEastAsia" w:eastAsiaTheme="minorEastAsia" w:hAnsiTheme="minorEastAsia"/>
          <w:szCs w:val="21"/>
        </w:rPr>
      </w:pPr>
      <w:r w:rsidRPr="000F7472">
        <w:rPr>
          <w:rFonts w:asciiTheme="minorEastAsia" w:eastAsiaTheme="minorEastAsia" w:hAnsiTheme="minorEastAsia" w:hint="eastAsia"/>
          <w:szCs w:val="21"/>
        </w:rPr>
        <w:t>市区町村に対して、保育所や学童保育の利用児童数・待機児童数と比べ、病児・病後児・体調不良児のための保育施設が適正数確保されているかをチェックし、必要な拡充を行うよう、都道府県として働きかけを行っていくこと。</w:t>
      </w:r>
    </w:p>
    <w:p w14:paraId="2E33ADC9" w14:textId="77777777" w:rsidR="000C6BE1" w:rsidRPr="000F7472" w:rsidRDefault="000C6BE1" w:rsidP="000C6BE1">
      <w:pPr>
        <w:widowControl/>
        <w:autoSpaceDE w:val="0"/>
        <w:autoSpaceDN w:val="0"/>
        <w:ind w:firstLineChars="100" w:firstLine="216"/>
        <w:jc w:val="left"/>
        <w:rPr>
          <w:rFonts w:asciiTheme="minorEastAsia" w:eastAsiaTheme="minorEastAsia" w:hAnsiTheme="minorEastAsia"/>
          <w:szCs w:val="21"/>
        </w:rPr>
      </w:pPr>
      <w:r w:rsidRPr="000F7472">
        <w:rPr>
          <w:rFonts w:asciiTheme="minorEastAsia" w:eastAsiaTheme="minorEastAsia" w:hAnsiTheme="minorEastAsia" w:hint="eastAsia"/>
          <w:szCs w:val="21"/>
        </w:rPr>
        <w:t>市区町村に対して、病児・病後児・体調不良児保育施設を利用しようとする者が、ネットで空き状況を確認し、申し込みのできるシステムを整備するよう働きかけること。</w:t>
      </w:r>
    </w:p>
    <w:p w14:paraId="3C5B8C71" w14:textId="77777777" w:rsidR="00894F54" w:rsidRDefault="00894F54" w:rsidP="00894F54">
      <w:pPr>
        <w:autoSpaceDE w:val="0"/>
        <w:autoSpaceDN w:val="0"/>
        <w:rPr>
          <w:rFonts w:asciiTheme="majorEastAsia" w:eastAsiaTheme="majorEastAsia" w:hAnsiTheme="majorEastAsia"/>
          <w:szCs w:val="21"/>
        </w:rPr>
      </w:pPr>
    </w:p>
    <w:p w14:paraId="5B33531A" w14:textId="7B1A55D3" w:rsidR="000C6BE1" w:rsidRDefault="0078049B" w:rsidP="00894F54">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1F27B095" w14:textId="77777777" w:rsidR="00894F54" w:rsidRPr="000F7472" w:rsidRDefault="00894F54" w:rsidP="00894F54">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病児保育施設については、年々施設数が拡大しており、201</w:t>
      </w:r>
      <w:r w:rsidRPr="000F7472">
        <w:rPr>
          <w:rFonts w:asciiTheme="minorEastAsia" w:eastAsiaTheme="minorEastAsia" w:hAnsiTheme="minorEastAsia"/>
          <w:szCs w:val="21"/>
        </w:rPr>
        <w:t>8</w:t>
      </w:r>
      <w:r w:rsidRPr="000F7472">
        <w:rPr>
          <w:rFonts w:asciiTheme="minorEastAsia" w:eastAsiaTheme="minorEastAsia" w:hAnsiTheme="minorEastAsia" w:hint="eastAsia"/>
          <w:szCs w:val="21"/>
        </w:rPr>
        <w:t>年度には全国</w:t>
      </w:r>
      <w:r w:rsidRPr="000F7472">
        <w:rPr>
          <w:rFonts w:asciiTheme="minorEastAsia" w:eastAsiaTheme="minorEastAsia" w:hAnsiTheme="minorEastAsia"/>
          <w:szCs w:val="21"/>
        </w:rPr>
        <w:t>3,130</w:t>
      </w:r>
      <w:r w:rsidRPr="000F7472">
        <w:rPr>
          <w:rFonts w:asciiTheme="minorEastAsia" w:eastAsiaTheme="minorEastAsia" w:hAnsiTheme="minorEastAsia" w:hint="eastAsia"/>
          <w:szCs w:val="21"/>
        </w:rPr>
        <w:t>カ所（病児対応型</w:t>
      </w:r>
      <w:r w:rsidRPr="000F7472">
        <w:rPr>
          <w:rFonts w:asciiTheme="minorEastAsia" w:eastAsiaTheme="minorEastAsia" w:hAnsiTheme="minorEastAsia"/>
          <w:szCs w:val="21"/>
        </w:rPr>
        <w:t>1,068</w:t>
      </w:r>
      <w:r w:rsidRPr="000F7472">
        <w:rPr>
          <w:rFonts w:asciiTheme="minorEastAsia" w:eastAsiaTheme="minorEastAsia" w:hAnsiTheme="minorEastAsia" w:hint="eastAsia"/>
          <w:szCs w:val="21"/>
        </w:rPr>
        <w:t>、病後児対応型</w:t>
      </w:r>
      <w:r w:rsidRPr="000F7472">
        <w:rPr>
          <w:rFonts w:asciiTheme="minorEastAsia" w:eastAsiaTheme="minorEastAsia" w:hAnsiTheme="minorEastAsia"/>
          <w:szCs w:val="21"/>
        </w:rPr>
        <w:t>643</w:t>
      </w:r>
      <w:r w:rsidRPr="000F7472">
        <w:rPr>
          <w:rFonts w:asciiTheme="minorEastAsia" w:eastAsiaTheme="minorEastAsia" w:hAnsiTheme="minorEastAsia" w:hint="eastAsia"/>
          <w:szCs w:val="21"/>
        </w:rPr>
        <w:t>、体調不良児対応型1</w:t>
      </w:r>
      <w:r w:rsidRPr="000F7472">
        <w:rPr>
          <w:rFonts w:asciiTheme="minorEastAsia" w:eastAsiaTheme="minorEastAsia" w:hAnsiTheme="minorEastAsia"/>
          <w:szCs w:val="21"/>
        </w:rPr>
        <w:t>,412</w:t>
      </w:r>
      <w:r w:rsidRPr="000F7472">
        <w:rPr>
          <w:rFonts w:asciiTheme="minorEastAsia" w:eastAsiaTheme="minorEastAsia" w:hAnsiTheme="minorEastAsia" w:hint="eastAsia"/>
          <w:szCs w:val="21"/>
        </w:rPr>
        <w:t>、訪問型７）となっています。しかしながら、延べ利用児童数は、同じく201</w:t>
      </w:r>
      <w:r w:rsidRPr="000F7472">
        <w:rPr>
          <w:rFonts w:asciiTheme="minorEastAsia" w:eastAsiaTheme="minorEastAsia" w:hAnsiTheme="minorEastAsia"/>
          <w:szCs w:val="21"/>
        </w:rPr>
        <w:t>8</w:t>
      </w:r>
      <w:r w:rsidRPr="000F7472">
        <w:rPr>
          <w:rFonts w:asciiTheme="minorEastAsia" w:eastAsiaTheme="minorEastAsia" w:hAnsiTheme="minorEastAsia" w:hint="eastAsia"/>
          <w:szCs w:val="21"/>
        </w:rPr>
        <w:t>年度で1,00</w:t>
      </w:r>
      <w:r w:rsidRPr="000F7472">
        <w:rPr>
          <w:rFonts w:asciiTheme="minorEastAsia" w:eastAsiaTheme="minorEastAsia" w:hAnsiTheme="minorEastAsia"/>
          <w:szCs w:val="21"/>
        </w:rPr>
        <w:t>8,712</w:t>
      </w:r>
      <w:r w:rsidRPr="000F7472">
        <w:rPr>
          <w:rFonts w:asciiTheme="minorEastAsia" w:eastAsiaTheme="minorEastAsia" w:hAnsiTheme="minorEastAsia" w:hint="eastAsia"/>
          <w:szCs w:val="21"/>
        </w:rPr>
        <w:t>人にすぎず、たとえば保育所などの利用児童数（201</w:t>
      </w:r>
      <w:r w:rsidRPr="000F7472">
        <w:rPr>
          <w:rFonts w:asciiTheme="minorEastAsia" w:eastAsiaTheme="minorEastAsia" w:hAnsiTheme="minorEastAsia"/>
          <w:szCs w:val="21"/>
        </w:rPr>
        <w:t>8</w:t>
      </w:r>
      <w:r w:rsidRPr="000F7472">
        <w:rPr>
          <w:rFonts w:asciiTheme="minorEastAsia" w:eastAsiaTheme="minorEastAsia" w:hAnsiTheme="minorEastAsia" w:hint="eastAsia"/>
          <w:szCs w:val="21"/>
        </w:rPr>
        <w:t>年に2</w:t>
      </w:r>
      <w:r w:rsidRPr="000F7472">
        <w:rPr>
          <w:rFonts w:asciiTheme="minorEastAsia" w:eastAsiaTheme="minorEastAsia" w:hAnsiTheme="minorEastAsia"/>
          <w:szCs w:val="21"/>
        </w:rPr>
        <w:t>61</w:t>
      </w:r>
      <w:r w:rsidRPr="000F7472">
        <w:rPr>
          <w:rFonts w:asciiTheme="minorEastAsia" w:eastAsiaTheme="minorEastAsia" w:hAnsiTheme="minorEastAsia" w:hint="eastAsia"/>
          <w:szCs w:val="21"/>
        </w:rPr>
        <w:t>万人）と比べると、２年半に１回にすぎないということになります。地域における状況を確認しながら、その拡充を図っていく必要があります。</w:t>
      </w:r>
    </w:p>
    <w:p w14:paraId="50ADFC53" w14:textId="77777777" w:rsidR="00894F54" w:rsidRPr="000F7472" w:rsidRDefault="00894F54" w:rsidP="00894F54">
      <w:pPr>
        <w:widowControl/>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学童保育や病児保育に用いられる内閣府の「地域子ども・子育て支援に必要な経費」は、2019年度の執行率が80％で、350億円以上が使われていない状況にあります。大阪市や名古屋市への支出額が横浜市の約４割といったばらつきもあります。市区町村が積極的に交付申請を行うよう、都道府県としても促進していく必要があります。</w:t>
      </w:r>
    </w:p>
    <w:p w14:paraId="76B17515" w14:textId="57A62FDA" w:rsidR="00C92C47" w:rsidRPr="00894F54" w:rsidRDefault="00C92C47" w:rsidP="00C92C47">
      <w:pPr>
        <w:widowControl/>
        <w:jc w:val="left"/>
        <w:rPr>
          <w:rFonts w:hint="eastAsia"/>
        </w:rPr>
      </w:pPr>
    </w:p>
    <w:p w14:paraId="0C69683D" w14:textId="31FDF51F" w:rsidR="00DC0AA9" w:rsidRPr="002F0B97" w:rsidRDefault="00DC0AA9" w:rsidP="00C92C47">
      <w:pPr>
        <w:widowControl/>
        <w:jc w:val="right"/>
        <w:rPr>
          <w:rFonts w:hAnsi="ＭＳ 明朝" w:cs="ＭＳ Ｐゴシック"/>
          <w:color w:val="000000"/>
          <w:szCs w:val="21"/>
        </w:rPr>
      </w:pPr>
      <w:r w:rsidRPr="000F7472">
        <w:rPr>
          <w:rFonts w:hAnsi="ＭＳ 明朝" w:cs="ＭＳ Ｐゴシック" w:hint="eastAsia"/>
          <w:color w:val="000000"/>
          <w:szCs w:val="21"/>
        </w:rPr>
        <w:t>以</w:t>
      </w:r>
      <w:r w:rsidR="00900A89" w:rsidRPr="000F7472">
        <w:rPr>
          <w:rFonts w:hAnsi="ＭＳ 明朝" w:cs="ＭＳ Ｐゴシック" w:hint="eastAsia"/>
          <w:color w:val="000000"/>
          <w:szCs w:val="21"/>
        </w:rPr>
        <w:t xml:space="preserve">　</w:t>
      </w:r>
      <w:r w:rsidRPr="000F7472">
        <w:rPr>
          <w:rFonts w:hAnsi="ＭＳ 明朝" w:cs="ＭＳ Ｐゴシック" w:hint="eastAsia"/>
          <w:color w:val="000000"/>
          <w:szCs w:val="21"/>
        </w:rPr>
        <w:t>上</w:t>
      </w:r>
    </w:p>
    <w:sectPr w:rsidR="00DC0AA9" w:rsidRPr="002F0B97" w:rsidSect="000A2F10">
      <w:footerReference w:type="even" r:id="rId12"/>
      <w:footerReference w:type="default" r:id="rId13"/>
      <w:footerReference w:type="first" r:id="rId14"/>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5DBF" w14:textId="77777777" w:rsidR="004B19D3" w:rsidRDefault="004B19D3">
      <w:r>
        <w:separator/>
      </w:r>
    </w:p>
  </w:endnote>
  <w:endnote w:type="continuationSeparator" w:id="0">
    <w:p w14:paraId="32D51940" w14:textId="77777777" w:rsidR="004B19D3" w:rsidRDefault="004B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0CEA" w14:textId="77777777" w:rsidR="004B19D3" w:rsidRDefault="004B19D3">
      <w:r>
        <w:separator/>
      </w:r>
    </w:p>
  </w:footnote>
  <w:footnote w:type="continuationSeparator" w:id="0">
    <w:p w14:paraId="32D8DF76" w14:textId="77777777" w:rsidR="004B19D3" w:rsidRDefault="004B1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1A75"/>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493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7C28"/>
    <w:rsid w:val="004B19D3"/>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4F54"/>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2C47"/>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66EE"/>
    <w:rsid w:val="00CB7002"/>
    <w:rsid w:val="00CC334D"/>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6B16"/>
    <w:rsid w:val="00F408DE"/>
    <w:rsid w:val="00F41101"/>
    <w:rsid w:val="00F41579"/>
    <w:rsid w:val="00F42924"/>
    <w:rsid w:val="00F476F6"/>
    <w:rsid w:val="00F53F9F"/>
    <w:rsid w:val="00F55DDD"/>
    <w:rsid w:val="00F56B66"/>
    <w:rsid w:val="00F57BF8"/>
    <w:rsid w:val="00F57D96"/>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3A54"/>
    <w:rsid w:val="00F93C28"/>
    <w:rsid w:val="00F93D22"/>
    <w:rsid w:val="00F93EA4"/>
    <w:rsid w:val="00F94AAD"/>
    <w:rsid w:val="00F963BB"/>
    <w:rsid w:val="00F97377"/>
    <w:rsid w:val="00FA0B21"/>
    <w:rsid w:val="00FA3262"/>
    <w:rsid w:val="00FA5DFF"/>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FDD0-6A81-4142-91D4-13AC7C6A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482</Words>
  <Characters>2754</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4</cp:revision>
  <cp:lastPrinted>2021-03-31T02:34:00Z</cp:lastPrinted>
  <dcterms:created xsi:type="dcterms:W3CDTF">2021-05-10T04:31:00Z</dcterms:created>
  <dcterms:modified xsi:type="dcterms:W3CDTF">2021-05-10T06:41:00Z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